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6181" w14:textId="77777777" w:rsidR="00CD38DA" w:rsidRDefault="00CD38DA" w:rsidP="008C2CD7">
      <w:pPr>
        <w:spacing w:line="240" w:lineRule="auto"/>
        <w:rPr>
          <w:rFonts w:ascii="Palatino Linotype" w:eastAsia="Times New Roman" w:hAnsi="Palatino Linotype"/>
          <w:bCs/>
          <w:i/>
          <w:iCs/>
          <w:lang w:val="en-US"/>
        </w:rPr>
      </w:pPr>
    </w:p>
    <w:p w14:paraId="0792415F" w14:textId="6978FDFF"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w:t>
      </w:r>
      <w:r w:rsidR="00CC25E0">
        <w:rPr>
          <w:rFonts w:ascii="Palatino Linotype" w:eastAsia="Times New Roman" w:hAnsi="Palatino Linotype"/>
          <w:bCs/>
          <w:i/>
          <w:iCs/>
          <w:lang w:val="en-US"/>
        </w:rPr>
        <w:t xml:space="preserve">of teaching strategies </w:t>
      </w:r>
      <w:r w:rsidR="000F4003" w:rsidRPr="00065F27">
        <w:rPr>
          <w:rFonts w:ascii="Palatino Linotype" w:eastAsia="Times New Roman" w:hAnsi="Palatino Linotype"/>
          <w:bCs/>
          <w:i/>
          <w:iCs/>
          <w:lang w:val="en-US"/>
        </w:rPr>
        <w:t>to</w:t>
      </w:r>
      <w:r w:rsidRPr="00065F27">
        <w:rPr>
          <w:rFonts w:ascii="Palatino Linotype" w:eastAsia="Times New Roman" w:hAnsi="Palatino Linotype"/>
          <w:bCs/>
          <w:i/>
          <w:iCs/>
          <w:lang w:val="en-US"/>
        </w:rPr>
        <w:t xml:space="preserve"> enhance and extend teacher and student learning about the people, places, and historical events depicted in the game. </w:t>
      </w:r>
    </w:p>
    <w:p w14:paraId="10E29323" w14:textId="77777777" w:rsidR="00CD38DA" w:rsidRDefault="00CD38DA" w:rsidP="00CD38DA">
      <w:pPr>
        <w:spacing w:line="240" w:lineRule="auto"/>
        <w:rPr>
          <w:rFonts w:ascii="Palatino Linotype" w:hAnsi="Palatino Linotype"/>
          <w:b/>
        </w:rPr>
      </w:pPr>
    </w:p>
    <w:p w14:paraId="3472500F"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b/>
          <w:bCs/>
          <w:color w:val="000000"/>
          <w:lang w:val="en-US"/>
        </w:rPr>
        <w:t xml:space="preserve">UC Berkeley History-Social Science Project. </w:t>
      </w:r>
      <w:hyperlink r:id="rId7" w:history="1">
        <w:r w:rsidRPr="00CC25E0">
          <w:rPr>
            <w:rFonts w:ascii="Palatino Linotype" w:eastAsia="Times New Roman" w:hAnsi="Palatino Linotype" w:cs="Times New Roman"/>
            <w:b/>
            <w:bCs/>
            <w:color w:val="1155CC"/>
            <w:u w:val="single"/>
            <w:lang w:val="en-US"/>
          </w:rPr>
          <w:t>http://ucbhssp.berkeley.edu/content/teachers</w:t>
        </w:r>
      </w:hyperlink>
    </w:p>
    <w:p w14:paraId="20762BFD"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This organization bridges the University of California, Berkeley academy and K-12 communities to help teachers strengthen their instructional practice and provide equitable educational opportunities to all students, through a model of learning, practicing, and doing. UC Berkeley offers professional development training and resources on teaching historical thinking skills within the context of a diverse array of topics.</w:t>
      </w:r>
    </w:p>
    <w:p w14:paraId="708248E5"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 </w:t>
      </w:r>
    </w:p>
    <w:p w14:paraId="51337E0A"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b/>
          <w:bCs/>
          <w:color w:val="000000"/>
          <w:lang w:val="en-US"/>
        </w:rPr>
        <w:t>Facing History and Ourselves. </w:t>
      </w:r>
    </w:p>
    <w:p w14:paraId="3F77216C" w14:textId="77777777" w:rsidR="00CC25E0" w:rsidRPr="00CC25E0" w:rsidRDefault="00CC25E0" w:rsidP="00CC25E0">
      <w:pPr>
        <w:spacing w:line="240" w:lineRule="auto"/>
        <w:rPr>
          <w:rFonts w:ascii="Times New Roman" w:eastAsia="Times New Roman" w:hAnsi="Times New Roman" w:cs="Times New Roman"/>
          <w:sz w:val="24"/>
          <w:szCs w:val="24"/>
          <w:lang w:val="en-US"/>
        </w:rPr>
      </w:pPr>
      <w:hyperlink r:id="rId8" w:history="1">
        <w:r w:rsidRPr="00CC25E0">
          <w:rPr>
            <w:rFonts w:ascii="Palatino Linotype" w:eastAsia="Times New Roman" w:hAnsi="Palatino Linotype" w:cs="Times New Roman"/>
            <w:b/>
            <w:bCs/>
            <w:color w:val="1155CC"/>
            <w:u w:val="single"/>
            <w:lang w:val="en-US"/>
          </w:rPr>
          <w:t>https://www.facinghistory.org/</w:t>
        </w:r>
      </w:hyperlink>
    </w:p>
    <w:p w14:paraId="5849F344"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 xml:space="preserve">This international educational and professional development nonprofit organization engages students of diverse backgrounds in an examination of racism, prejudice, and antisemitism </w:t>
      </w:r>
      <w:proofErr w:type="gramStart"/>
      <w:r w:rsidRPr="00CC25E0">
        <w:rPr>
          <w:rFonts w:ascii="Palatino Linotype" w:eastAsia="Times New Roman" w:hAnsi="Palatino Linotype" w:cs="Times New Roman"/>
          <w:color w:val="000000"/>
          <w:lang w:val="en-US"/>
        </w:rPr>
        <w:t>in order to</w:t>
      </w:r>
      <w:proofErr w:type="gramEnd"/>
      <w:r w:rsidRPr="00CC25E0">
        <w:rPr>
          <w:rFonts w:ascii="Palatino Linotype" w:eastAsia="Times New Roman" w:hAnsi="Palatino Linotype" w:cs="Times New Roman"/>
          <w:color w:val="000000"/>
          <w:lang w:val="en-US"/>
        </w:rPr>
        <w:t xml:space="preserve"> promote the development of a more humane and informed citizenry by providing lesson plans that reflect these topics as well as teaching strategies and professional development. Included on their website are resources on “Bearing Witness to Japanese American Incarceration.”</w:t>
      </w:r>
    </w:p>
    <w:p w14:paraId="28065909"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 </w:t>
      </w:r>
    </w:p>
    <w:p w14:paraId="1692863D"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b/>
          <w:bCs/>
          <w:color w:val="000000"/>
          <w:lang w:val="en-US"/>
        </w:rPr>
        <w:t>Library of Congress, Teaching with Primary Sources. </w:t>
      </w:r>
    </w:p>
    <w:p w14:paraId="0E348F15" w14:textId="77777777" w:rsidR="00CC25E0" w:rsidRPr="00CC25E0" w:rsidRDefault="00CC25E0" w:rsidP="00CC25E0">
      <w:pPr>
        <w:spacing w:line="240" w:lineRule="auto"/>
        <w:rPr>
          <w:rFonts w:ascii="Times New Roman" w:eastAsia="Times New Roman" w:hAnsi="Times New Roman" w:cs="Times New Roman"/>
          <w:sz w:val="24"/>
          <w:szCs w:val="24"/>
          <w:lang w:val="en-US"/>
        </w:rPr>
      </w:pPr>
      <w:hyperlink r:id="rId9" w:history="1">
        <w:r w:rsidRPr="00CC25E0">
          <w:rPr>
            <w:rFonts w:ascii="Palatino Linotype" w:eastAsia="Times New Roman" w:hAnsi="Palatino Linotype" w:cs="Times New Roman"/>
            <w:b/>
            <w:bCs/>
            <w:color w:val="1155CC"/>
            <w:u w:val="single"/>
            <w:lang w:val="en-US"/>
          </w:rPr>
          <w:t>http://www.loc.gov/teachers/</w:t>
        </w:r>
      </w:hyperlink>
    </w:p>
    <w:p w14:paraId="1161BF98"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 xml:space="preserve">The Library of Congress offers classroom materials and professional development to help teachers effectively use primary sources from the </w:t>
      </w:r>
      <w:proofErr w:type="gramStart"/>
      <w:r w:rsidRPr="00CC25E0">
        <w:rPr>
          <w:rFonts w:ascii="Palatino Linotype" w:eastAsia="Times New Roman" w:hAnsi="Palatino Linotype" w:cs="Times New Roman"/>
          <w:color w:val="000000"/>
          <w:lang w:val="en-US"/>
        </w:rPr>
        <w:t>Library's</w:t>
      </w:r>
      <w:proofErr w:type="gramEnd"/>
      <w:r w:rsidRPr="00CC25E0">
        <w:rPr>
          <w:rFonts w:ascii="Palatino Linotype" w:eastAsia="Times New Roman" w:hAnsi="Palatino Linotype" w:cs="Times New Roman"/>
          <w:color w:val="000000"/>
          <w:lang w:val="en-US"/>
        </w:rPr>
        <w:t xml:space="preserve"> vast digital collections in their teaching. Find Library of Congress lesson plans and more that meet Common Core standards, state content standards, and the standards of national organizations.</w:t>
      </w:r>
    </w:p>
    <w:p w14:paraId="6DFFEF13"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 </w:t>
      </w:r>
    </w:p>
    <w:p w14:paraId="0E83A956"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b/>
          <w:bCs/>
          <w:color w:val="000000"/>
          <w:lang w:val="en-US"/>
        </w:rPr>
        <w:t>Stanford History Education Group. </w:t>
      </w:r>
    </w:p>
    <w:p w14:paraId="6C03FE6A" w14:textId="77777777" w:rsidR="00CC25E0" w:rsidRPr="00CC25E0" w:rsidRDefault="00CC25E0" w:rsidP="00CC25E0">
      <w:pPr>
        <w:spacing w:line="240" w:lineRule="auto"/>
        <w:rPr>
          <w:rFonts w:ascii="Times New Roman" w:eastAsia="Times New Roman" w:hAnsi="Times New Roman" w:cs="Times New Roman"/>
          <w:sz w:val="24"/>
          <w:szCs w:val="24"/>
          <w:lang w:val="en-US"/>
        </w:rPr>
      </w:pPr>
      <w:hyperlink r:id="rId10" w:history="1">
        <w:r w:rsidRPr="00CC25E0">
          <w:rPr>
            <w:rFonts w:ascii="Palatino Linotype" w:eastAsia="Times New Roman" w:hAnsi="Palatino Linotype" w:cs="Times New Roman"/>
            <w:b/>
            <w:bCs/>
            <w:color w:val="1155CC"/>
            <w:u w:val="single"/>
            <w:lang w:val="en-US"/>
          </w:rPr>
          <w:t>https://sheg.stanford.edu/</w:t>
        </w:r>
      </w:hyperlink>
    </w:p>
    <w:p w14:paraId="70440EDB"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lang w:val="en-US"/>
        </w:rPr>
        <w:t>Strategies such as “Reading Like a Historian” and “Civic Online Reasoning” are featured here. Lesson plans engage students in historical inquiry and teach them to critically evaluate news articles.</w:t>
      </w:r>
    </w:p>
    <w:p w14:paraId="7DFAEC8E" w14:textId="77777777" w:rsidR="00CC25E0" w:rsidRPr="00CC25E0" w:rsidRDefault="00CC25E0" w:rsidP="00CC25E0">
      <w:pPr>
        <w:spacing w:line="240" w:lineRule="auto"/>
        <w:rPr>
          <w:rFonts w:ascii="Times New Roman" w:eastAsia="Times New Roman" w:hAnsi="Times New Roman" w:cs="Times New Roman"/>
          <w:sz w:val="24"/>
          <w:szCs w:val="24"/>
          <w:lang w:val="en-US"/>
        </w:rPr>
      </w:pPr>
      <w:r w:rsidRPr="00CC25E0">
        <w:rPr>
          <w:rFonts w:ascii="Palatino Linotype" w:eastAsia="Times New Roman" w:hAnsi="Palatino Linotype" w:cs="Times New Roman"/>
          <w:color w:val="000000"/>
          <w:shd w:val="clear" w:color="auto" w:fill="FFFFFF"/>
          <w:lang w:val="en-US"/>
        </w:rPr>
        <w:t> </w:t>
      </w:r>
    </w:p>
    <w:p w14:paraId="1E51ED50" w14:textId="77777777" w:rsidR="00CC25E0" w:rsidRPr="00CC25E0" w:rsidRDefault="00CC25E0" w:rsidP="00CC25E0">
      <w:pPr>
        <w:spacing w:line="240" w:lineRule="auto"/>
        <w:rPr>
          <w:rFonts w:ascii="Times New Roman" w:eastAsia="Times New Roman" w:hAnsi="Times New Roman" w:cs="Times New Roman"/>
          <w:sz w:val="24"/>
          <w:szCs w:val="24"/>
          <w:lang w:val="en-US"/>
        </w:rPr>
      </w:pPr>
    </w:p>
    <w:p w14:paraId="1A7B9893" w14:textId="77777777" w:rsidR="00374DEA" w:rsidRPr="00374DEA" w:rsidRDefault="00374DEA" w:rsidP="00374DEA">
      <w:pPr>
        <w:spacing w:line="240" w:lineRule="auto"/>
        <w:rPr>
          <w:rFonts w:ascii="Times New Roman" w:eastAsia="Times New Roman" w:hAnsi="Times New Roman" w:cs="Times New Roman"/>
          <w:sz w:val="24"/>
          <w:szCs w:val="24"/>
          <w:lang w:val="en-US"/>
        </w:rPr>
      </w:pPr>
    </w:p>
    <w:p w14:paraId="5530F704" w14:textId="56ABCEF1" w:rsidR="00791480" w:rsidRDefault="00791480" w:rsidP="002060D4">
      <w:pPr>
        <w:spacing w:line="240" w:lineRule="auto"/>
      </w:pPr>
    </w:p>
    <w:sectPr w:rsidR="00791480" w:rsidSect="00C55D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75BD" w14:textId="77777777" w:rsidR="009C4E8D" w:rsidRDefault="009C4E8D" w:rsidP="008C2CD7">
      <w:pPr>
        <w:spacing w:line="240" w:lineRule="auto"/>
      </w:pPr>
      <w:r>
        <w:separator/>
      </w:r>
    </w:p>
  </w:endnote>
  <w:endnote w:type="continuationSeparator" w:id="0">
    <w:p w14:paraId="6721BC08" w14:textId="77777777" w:rsidR="009C4E8D" w:rsidRDefault="009C4E8D"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D79" w14:textId="77777777" w:rsidR="008C2CD7" w:rsidRDefault="008C2CD7" w:rsidP="008C2CD7">
    <w:pPr>
      <w:pStyle w:val="Footer"/>
      <w:pBdr>
        <w:bottom w:val="thinThickThinMediumGap" w:sz="18" w:space="1" w:color="auto"/>
      </w:pBdr>
    </w:pPr>
  </w:p>
  <w:p w14:paraId="4DA5C374" w14:textId="77777777" w:rsidR="008C2CD7" w:rsidRDefault="008C2CD7" w:rsidP="008C2CD7">
    <w:pPr>
      <w:pStyle w:val="Footer"/>
    </w:pPr>
  </w:p>
  <w:p w14:paraId="6B481154" w14:textId="77777777" w:rsidR="008C2CD7" w:rsidRDefault="008C2CD7" w:rsidP="008C2CD7">
    <w:pPr>
      <w:pStyle w:val="Footer"/>
      <w:jc w:val="center"/>
    </w:pPr>
    <w:r>
      <w:rPr>
        <w:noProof/>
      </w:rPr>
      <w:drawing>
        <wp:inline distT="0" distB="0" distL="0" distR="0" wp14:anchorId="5DBBCE0A" wp14:editId="08DC4880">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7C44" w14:textId="77777777" w:rsidR="009C4E8D" w:rsidRDefault="009C4E8D" w:rsidP="008C2CD7">
      <w:pPr>
        <w:spacing w:line="240" w:lineRule="auto"/>
      </w:pPr>
      <w:r>
        <w:separator/>
      </w:r>
    </w:p>
  </w:footnote>
  <w:footnote w:type="continuationSeparator" w:id="0">
    <w:p w14:paraId="15CEC344" w14:textId="77777777" w:rsidR="009C4E8D" w:rsidRDefault="009C4E8D"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AAB" w14:textId="77777777"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279DF84A" w14:textId="45A3DC31"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CC25E0">
      <w:rPr>
        <w:rFonts w:ascii="Palatino Linotype" w:eastAsia="Times New Roman" w:hAnsi="Palatino Linotype" w:cs="Times New Roman"/>
        <w:sz w:val="32"/>
        <w:szCs w:val="32"/>
      </w:rPr>
      <w:t>Teaching Strategies</w:t>
    </w:r>
  </w:p>
  <w:p w14:paraId="724B0460" w14:textId="2C0188A8"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0F4003">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37F8"/>
    <w:multiLevelType w:val="multilevel"/>
    <w:tmpl w:val="B54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253"/>
    <w:multiLevelType w:val="multilevel"/>
    <w:tmpl w:val="947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719D"/>
    <w:multiLevelType w:val="multilevel"/>
    <w:tmpl w:val="D1F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95409"/>
    <w:multiLevelType w:val="multilevel"/>
    <w:tmpl w:val="24C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1E77"/>
    <w:multiLevelType w:val="multilevel"/>
    <w:tmpl w:val="D64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D6DF6"/>
    <w:multiLevelType w:val="multilevel"/>
    <w:tmpl w:val="A5D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E23A5"/>
    <w:multiLevelType w:val="multilevel"/>
    <w:tmpl w:val="4466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063876">
    <w:abstractNumId w:val="6"/>
  </w:num>
  <w:num w:numId="2" w16cid:durableId="1962180489">
    <w:abstractNumId w:val="2"/>
  </w:num>
  <w:num w:numId="3" w16cid:durableId="225529253">
    <w:abstractNumId w:val="5"/>
  </w:num>
  <w:num w:numId="4" w16cid:durableId="1961380924">
    <w:abstractNumId w:val="4"/>
  </w:num>
  <w:num w:numId="5" w16cid:durableId="1589659918">
    <w:abstractNumId w:val="0"/>
  </w:num>
  <w:num w:numId="6" w16cid:durableId="1364136032">
    <w:abstractNumId w:val="3"/>
  </w:num>
  <w:num w:numId="7" w16cid:durableId="157839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0F4003"/>
    <w:rsid w:val="002060D4"/>
    <w:rsid w:val="00353FD5"/>
    <w:rsid w:val="00374DEA"/>
    <w:rsid w:val="004C7CF2"/>
    <w:rsid w:val="00685884"/>
    <w:rsid w:val="00791480"/>
    <w:rsid w:val="008C2CD7"/>
    <w:rsid w:val="00935E7E"/>
    <w:rsid w:val="009C4E8D"/>
    <w:rsid w:val="00C55D5C"/>
    <w:rsid w:val="00CC25E0"/>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4F5D"/>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paragraph" w:styleId="NormalWeb">
    <w:name w:val="Normal (Web)"/>
    <w:basedOn w:val="Normal"/>
    <w:uiPriority w:val="99"/>
    <w:semiHidden/>
    <w:unhideWhenUsed/>
    <w:rsid w:val="000F4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9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9219">
      <w:bodyDiv w:val="1"/>
      <w:marLeft w:val="0"/>
      <w:marRight w:val="0"/>
      <w:marTop w:val="0"/>
      <w:marBottom w:val="0"/>
      <w:divBdr>
        <w:top w:val="none" w:sz="0" w:space="0" w:color="auto"/>
        <w:left w:val="none" w:sz="0" w:space="0" w:color="auto"/>
        <w:bottom w:val="none" w:sz="0" w:space="0" w:color="auto"/>
        <w:right w:val="none" w:sz="0" w:space="0" w:color="auto"/>
      </w:divBdr>
    </w:div>
    <w:div w:id="542255653">
      <w:bodyDiv w:val="1"/>
      <w:marLeft w:val="0"/>
      <w:marRight w:val="0"/>
      <w:marTop w:val="0"/>
      <w:marBottom w:val="0"/>
      <w:divBdr>
        <w:top w:val="none" w:sz="0" w:space="0" w:color="auto"/>
        <w:left w:val="none" w:sz="0" w:space="0" w:color="auto"/>
        <w:bottom w:val="none" w:sz="0" w:space="0" w:color="auto"/>
        <w:right w:val="none" w:sz="0" w:space="0" w:color="auto"/>
      </w:divBdr>
    </w:div>
    <w:div w:id="721635190">
      <w:bodyDiv w:val="1"/>
      <w:marLeft w:val="0"/>
      <w:marRight w:val="0"/>
      <w:marTop w:val="0"/>
      <w:marBottom w:val="0"/>
      <w:divBdr>
        <w:top w:val="none" w:sz="0" w:space="0" w:color="auto"/>
        <w:left w:val="none" w:sz="0" w:space="0" w:color="auto"/>
        <w:bottom w:val="none" w:sz="0" w:space="0" w:color="auto"/>
        <w:right w:val="none" w:sz="0" w:space="0" w:color="auto"/>
      </w:divBdr>
    </w:div>
    <w:div w:id="1616059432">
      <w:bodyDiv w:val="1"/>
      <w:marLeft w:val="0"/>
      <w:marRight w:val="0"/>
      <w:marTop w:val="0"/>
      <w:marBottom w:val="0"/>
      <w:divBdr>
        <w:top w:val="none" w:sz="0" w:space="0" w:color="auto"/>
        <w:left w:val="none" w:sz="0" w:space="0" w:color="auto"/>
        <w:bottom w:val="none" w:sz="0" w:space="0" w:color="auto"/>
        <w:right w:val="none" w:sz="0" w:space="0" w:color="auto"/>
      </w:divBdr>
    </w:div>
    <w:div w:id="1712067978">
      <w:bodyDiv w:val="1"/>
      <w:marLeft w:val="0"/>
      <w:marRight w:val="0"/>
      <w:marTop w:val="0"/>
      <w:marBottom w:val="0"/>
      <w:divBdr>
        <w:top w:val="none" w:sz="0" w:space="0" w:color="auto"/>
        <w:left w:val="none" w:sz="0" w:space="0" w:color="auto"/>
        <w:bottom w:val="none" w:sz="0" w:space="0" w:color="auto"/>
        <w:right w:val="none" w:sz="0" w:space="0" w:color="auto"/>
      </w:divBdr>
    </w:div>
    <w:div w:id="21232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bhssp.berkeley.edu/content/teach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heg.stanford.edu/" TargetMode="External"/><Relationship Id="rId4" Type="http://schemas.openxmlformats.org/officeDocument/2006/relationships/webSettings" Target="webSettings.xml"/><Relationship Id="rId9" Type="http://schemas.openxmlformats.org/officeDocument/2006/relationships/hyperlink" Target="http://www.loc.gov/teach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Kirtley, Kristina</cp:lastModifiedBy>
  <cp:revision>2</cp:revision>
  <cp:lastPrinted>2022-11-29T20:33:00Z</cp:lastPrinted>
  <dcterms:created xsi:type="dcterms:W3CDTF">2022-11-29T20:35:00Z</dcterms:created>
  <dcterms:modified xsi:type="dcterms:W3CDTF">2022-11-29T20:35:00Z</dcterms:modified>
</cp:coreProperties>
</file>