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34a6ca"/>
          <w:sz w:val="46"/>
          <w:szCs w:val="46"/>
          <w:u w:val="singl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46"/>
            <w:szCs w:val="46"/>
            <w:u w:val="single"/>
          </w:rPr>
          <w:drawing>
            <wp:inline distB="114300" distT="114300" distL="114300" distR="114300">
              <wp:extent cx="2435664" cy="518226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5664" cy="518226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34a6ca"/>
          <w:sz w:val="40"/>
          <w:szCs w:val="40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i w:val="1"/>
            <w:color w:val="1155cc"/>
            <w:sz w:val="46"/>
            <w:szCs w:val="46"/>
            <w:u w:val="single"/>
            <w:rtl w:val="0"/>
          </w:rPr>
          <w:t xml:space="preserve">No Turning Back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color w:val="34a6ca"/>
          <w:sz w:val="46"/>
          <w:szCs w:val="4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34a6ca"/>
          <w:sz w:val="44"/>
          <w:szCs w:val="44"/>
          <w:rtl w:val="0"/>
        </w:rPr>
        <w:t xml:space="preserve">Teacher Preparation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b w:val="1"/>
          <w:color w:val="34a6c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  <w:b w:val="1"/>
          <w:color w:val="34a6ca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34a6ca"/>
          <w:sz w:val="36"/>
          <w:szCs w:val="36"/>
          <w:rtl w:val="0"/>
        </w:rPr>
        <w:t xml:space="preserve">CONSIDER THE FOLLOWING: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have time to play the game and reflect first?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your goal for use?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the political climate of your school and the community it serves?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have time for deep, responsive conversations before, during and after use?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have local resources in your community to support and extend  learning?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0" w:firstLine="0"/>
        <w:rPr>
          <w:rFonts w:ascii="Calibri" w:cs="Calibri" w:eastAsia="Calibri" w:hAnsi="Calibri"/>
          <w:b w:val="1"/>
          <w:color w:val="34a6ca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color w:val="34a6ca"/>
          <w:sz w:val="38"/>
          <w:szCs w:val="38"/>
          <w:rtl w:val="0"/>
        </w:rPr>
        <w:t xml:space="preserve">Intentional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Aligned to standards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Integrated with purpose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Acknowledge the content, context, and impact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Resources: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sz w:val="24"/>
            <w:szCs w:val="24"/>
            <w:u w:val="single"/>
            <w:rtl w:val="0"/>
          </w:rPr>
          <w:t xml:space="preserve">No Turning Back Content and Language Advisory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Top 5 Things to Know Before You Play -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Handout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Introduction to No Turning Back for Parents, Teachers, and Administrators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firstLine="0"/>
        <w:rPr>
          <w:rFonts w:ascii="Calibri" w:cs="Calibri" w:eastAsia="Calibri" w:hAnsi="Calibri"/>
          <w:b w:val="1"/>
          <w:color w:val="34a6ca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color w:val="34a6ca"/>
          <w:sz w:val="38"/>
          <w:szCs w:val="38"/>
          <w:rtl w:val="0"/>
        </w:rPr>
        <w:t xml:space="preserve">Supported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Leverage and utilize colleagues and related content-areas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Connect with national and local historical societies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Resources: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3">
        <w:r w:rsidDel="00000000" w:rsidR="00000000" w:rsidRPr="00000000">
          <w:rPr>
            <w:rFonts w:ascii="Calibri" w:cs="Calibri" w:eastAsia="Calibri" w:hAnsi="Calibri"/>
            <w:sz w:val="24"/>
            <w:szCs w:val="24"/>
            <w:u w:val="single"/>
            <w:rtl w:val="0"/>
          </w:rPr>
          <w:t xml:space="preserve">Facing History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4">
        <w:r w:rsidDel="00000000" w:rsidR="00000000" w:rsidRPr="00000000">
          <w:rPr>
            <w:rFonts w:ascii="Calibri" w:cs="Calibri" w:eastAsia="Calibri" w:hAnsi="Calibri"/>
            <w:sz w:val="24"/>
            <w:szCs w:val="24"/>
            <w:u w:val="single"/>
            <w:rtl w:val="0"/>
          </w:rPr>
          <w:t xml:space="preserve">American Historical Association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1440" w:firstLine="0"/>
        <w:rPr>
          <w:rFonts w:ascii="Calibri" w:cs="Calibri" w:eastAsia="Calibri" w:hAnsi="Calibri"/>
          <w:color w:val="34a6c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0" w:firstLine="0"/>
        <w:rPr>
          <w:rFonts w:ascii="Calibri" w:cs="Calibri" w:eastAsia="Calibri" w:hAnsi="Calibri"/>
          <w:b w:val="1"/>
          <w:color w:val="34a6ca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color w:val="34a6ca"/>
          <w:sz w:val="38"/>
          <w:szCs w:val="38"/>
          <w:rtl w:val="0"/>
        </w:rPr>
        <w:t xml:space="preserve">Responsive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Prepare your students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Listen to your students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Shift as needed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Resources: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15">
        <w:r w:rsidDel="00000000" w:rsidR="00000000" w:rsidRPr="00000000">
          <w:rPr>
            <w:rFonts w:ascii="Calibri" w:cs="Calibri" w:eastAsia="Calibri" w:hAnsi="Calibri"/>
            <w:sz w:val="24"/>
            <w:szCs w:val="24"/>
            <w:u w:val="single"/>
            <w:rtl w:val="0"/>
          </w:rPr>
          <w:t xml:space="preserve">Principles and Practice of Restorative Circles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hyperlink r:id="rId16">
        <w:r w:rsidDel="00000000" w:rsidR="00000000" w:rsidRPr="00000000">
          <w:rPr>
            <w:rFonts w:ascii="Calibri" w:cs="Calibri" w:eastAsia="Calibri" w:hAnsi="Calibri"/>
            <w:sz w:val="24"/>
            <w:szCs w:val="24"/>
            <w:u w:val="single"/>
            <w:rtl w:val="0"/>
          </w:rPr>
          <w:t xml:space="preserve">On Demand Video Library | Social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0" w:firstLine="0"/>
        <w:rPr>
          <w:rFonts w:ascii="Calibri" w:cs="Calibri" w:eastAsia="Calibri" w:hAnsi="Calibri"/>
          <w:b w:val="1"/>
          <w:color w:val="34a6ca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color w:val="34a6ca"/>
          <w:sz w:val="38"/>
          <w:szCs w:val="38"/>
          <w:rtl w:val="0"/>
        </w:rPr>
        <w:t xml:space="preserve">Instructional Materials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1"/>
            <w:i w:val="1"/>
            <w:sz w:val="24"/>
            <w:szCs w:val="24"/>
            <w:u w:val="single"/>
            <w:rtl w:val="0"/>
          </w:rPr>
          <w:t xml:space="preserve">No Turning Back</w:t>
        </w:r>
      </w:hyperlink>
      <w:hyperlink r:id="rId18">
        <w:r w:rsidDel="00000000" w:rsidR="00000000" w:rsidRPr="00000000">
          <w:rPr>
            <w:rFonts w:ascii="Calibri" w:cs="Calibri" w:eastAsia="Calibri" w:hAnsi="Calibri"/>
            <w:b w:val="1"/>
            <w:sz w:val="24"/>
            <w:szCs w:val="24"/>
            <w:u w:val="single"/>
            <w:rtl w:val="0"/>
          </w:rPr>
          <w:t xml:space="preserve"> Teacher’s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Blog posts from advisor Pamela Walker: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8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Historical Terms and Why They Matter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numPr>
          <w:ilvl w:val="1"/>
          <w:numId w:val="8"/>
        </w:numPr>
        <w:spacing w:before="0" w:beforeAutospacing="0"/>
        <w:ind w:left="144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um749c23vpes" w:id="0"/>
      <w:bookmarkEnd w:id="0"/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Marching Home: Honoring Family Stories and Civil Rights in the Mississippi Delta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mission-us.org/2022/11/16/marching-home-honoring-family-stories-and-civil-rights-in-the-mississippi-delta/" TargetMode="External"/><Relationship Id="rId11" Type="http://schemas.openxmlformats.org/officeDocument/2006/relationships/hyperlink" Target="https://www.mission-us.org/teach/no-turning-back/teaching-this-mission/top-5-things-to-know-before-you-play-video/" TargetMode="External"/><Relationship Id="rId10" Type="http://schemas.openxmlformats.org/officeDocument/2006/relationships/hyperlink" Target="https://www.mission-us.org/teach/no-turning-back/teaching-this-mission/top-5-things-to-know-before-you-play-for-students/" TargetMode="External"/><Relationship Id="rId13" Type="http://schemas.openxmlformats.org/officeDocument/2006/relationships/hyperlink" Target="https://www.facinghistory.org/" TargetMode="External"/><Relationship Id="rId12" Type="http://schemas.openxmlformats.org/officeDocument/2006/relationships/hyperlink" Target="https://www.mission-us.org/teach/no-turning-back/teaching-this-mission/introduction-to-no-turning-back-for-parents-teachers-and-administrator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ssion-us.org/teach/no-turning-back/teaching-this-mission/content-and-language-advisory/" TargetMode="External"/><Relationship Id="rId15" Type="http://schemas.openxmlformats.org/officeDocument/2006/relationships/hyperlink" Target="https://www.restorativeresources.org/uploads/5/6/1/4/56143033/principles_and_practice_of_circle.pdf" TargetMode="External"/><Relationship Id="rId14" Type="http://schemas.openxmlformats.org/officeDocument/2006/relationships/hyperlink" Target="https://www.historians.org/" TargetMode="External"/><Relationship Id="rId17" Type="http://schemas.openxmlformats.org/officeDocument/2006/relationships/hyperlink" Target="https://www.mission-us.org/teach/no-turning-back/teaching-this-mission/about-no-turning-back/" TargetMode="External"/><Relationship Id="rId16" Type="http://schemas.openxmlformats.org/officeDocument/2006/relationships/hyperlink" Target="https://www.socialstudies.org/professional-learning/demand-video-library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mission-us.org/2022/11/08/historical-terms-and-why-they-matter/" TargetMode="External"/><Relationship Id="rId6" Type="http://schemas.openxmlformats.org/officeDocument/2006/relationships/hyperlink" Target="https://mission-us.org" TargetMode="External"/><Relationship Id="rId18" Type="http://schemas.openxmlformats.org/officeDocument/2006/relationships/hyperlink" Target="https://www.mission-us.org/teach/no-turning-back/teaching-this-mission/about-no-turning-back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mission-us.org/games/no-turning-b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