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Question: </w:t>
      </w:r>
      <w:r w:rsidDel="00000000" w:rsidR="00000000" w:rsidRPr="00000000">
        <w:rPr>
          <w:sz w:val="24"/>
          <w:szCs w:val="24"/>
          <w:rtl w:val="0"/>
        </w:rPr>
        <w:t xml:space="preserve">How do immigrants balance their commitment to family, cultural, and religious traditions with their desire to assimilate or explore the new opportunities in America?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Parts 2 and 3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of Immigrants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(“Family First” and “A Night to Remember”), discuss these questions: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work and chores did you do as Lena? Were these paid or unpaid? Why did you do them? </w:t>
        <w:br w:type="textWrapping"/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you spend your time when not working? What did you do for fun? 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it hard or easy to balance commitments to family and religion with assimilating (that is, exploring a new identity as an American)? Why or why not?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5256" cy="192024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City of Immigrants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Part 2 &amp; Part 3 </w:t>
    </w:r>
    <w:r w:rsidDel="00000000" w:rsidR="00000000" w:rsidRPr="00000000">
      <w:rPr>
        <w:rFonts w:ascii="Calibri" w:cs="Calibri" w:eastAsia="Calibri" w:hAnsi="Calibri"/>
        <w:color w:val="ff0000"/>
        <w:sz w:val="24"/>
        <w:szCs w:val="24"/>
        <w:rtl w:val="0"/>
      </w:rPr>
      <w:t xml:space="preserve">Teacher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