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sz w:val="2"/>
          <w:szCs w:val="2"/>
        </w:rPr>
      </w:pPr>
      <w:r w:rsidDel="00000000" w:rsidR="00000000" w:rsidRPr="00000000">
        <w:rPr>
          <w:rtl w:val="0"/>
        </w:rPr>
      </w:r>
    </w:p>
    <w:tbl>
      <w:tblPr>
        <w:tblStyle w:val="Table1"/>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70"/>
        <w:gridCol w:w="4590"/>
        <w:tblGridChange w:id="0">
          <w:tblGrid>
            <w:gridCol w:w="8370"/>
            <w:gridCol w:w="4590"/>
          </w:tblGrid>
        </w:tblGridChange>
      </w:tblGrid>
      <w:tr>
        <w:trPr>
          <w:cantSplit w:val="0"/>
          <w:trHeight w:val="440" w:hRule="atLeast"/>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Guiding Question: </w:t>
            </w:r>
            <w:r w:rsidDel="00000000" w:rsidR="00000000" w:rsidRPr="00000000">
              <w:rPr>
                <w:sz w:val="24"/>
                <w:szCs w:val="24"/>
                <w:rtl w:val="0"/>
              </w:rPr>
              <w:t xml:space="preserve">What actions did people take to cope with the economic hardship of the Great Depression? </w:t>
            </w:r>
            <w:r w:rsidDel="00000000" w:rsidR="00000000" w:rsidRPr="00000000">
              <w:rPr>
                <w:rtl w:val="0"/>
              </w:rPr>
            </w:r>
          </w:p>
        </w:tc>
      </w:tr>
      <w:tr>
        <w:trPr>
          <w:cantSplit w:val="0"/>
          <w:trHeight w:val="599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Pr>
              <w:drawing>
                <wp:inline distB="114300" distT="114300" distL="114300" distR="114300">
                  <wp:extent cx="5181600" cy="3568700"/>
                  <wp:effectExtent b="0" l="0" r="0" t="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181600" cy="3568700"/>
                          </a:xfrm>
                          <a:prstGeom prst="rect"/>
                          <a:ln/>
                        </pic:spPr>
                      </pic:pic>
                    </a:graphicData>
                  </a:graphic>
                </wp:inline>
              </w:drawing>
            </w: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05">
            <w:pPr>
              <w:pStyle w:val="Heading1"/>
              <w:keepNext w:val="0"/>
              <w:keepLines w:val="0"/>
              <w:widowControl w:val="0"/>
              <w:spacing w:after="0" w:before="0" w:line="191.9997391304348" w:lineRule="auto"/>
              <w:rPr>
                <w:sz w:val="24"/>
                <w:szCs w:val="24"/>
              </w:rPr>
            </w:pPr>
            <w:bookmarkStart w:colFirst="0" w:colLast="0" w:name="_heading=h.gjdgxs" w:id="0"/>
            <w:bookmarkEnd w:id="0"/>
            <w:r w:rsidDel="00000000" w:rsidR="00000000" w:rsidRPr="00000000">
              <w:rPr>
                <w:b w:val="1"/>
                <w:sz w:val="24"/>
                <w:szCs w:val="24"/>
                <w:rtl w:val="0"/>
              </w:rPr>
              <w:t xml:space="preserve">Time:</w:t>
            </w:r>
            <w:r w:rsidDel="00000000" w:rsidR="00000000" w:rsidRPr="00000000">
              <w:rPr>
                <w:sz w:val="24"/>
                <w:szCs w:val="24"/>
                <w:rtl w:val="0"/>
              </w:rPr>
              <w:t xml:space="preserve"> At least 20 minutes</w:t>
            </w:r>
          </w:p>
          <w:p w:rsidR="00000000" w:rsidDel="00000000" w:rsidP="00000000" w:rsidRDefault="00000000" w:rsidRPr="00000000" w14:paraId="00000006">
            <w:pPr>
              <w:pStyle w:val="Heading1"/>
              <w:keepNext w:val="0"/>
              <w:keepLines w:val="0"/>
              <w:widowControl w:val="0"/>
              <w:spacing w:after="0" w:before="0" w:line="191.9997391304348"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7">
            <w:pPr>
              <w:pStyle w:val="Heading1"/>
              <w:keepNext w:val="0"/>
              <w:keepLines w:val="0"/>
              <w:widowControl w:val="0"/>
              <w:spacing w:after="0" w:before="0" w:line="191.9997391304348" w:lineRule="auto"/>
              <w:rPr>
                <w:b w:val="1"/>
                <w:sz w:val="24"/>
                <w:szCs w:val="24"/>
              </w:rPr>
            </w:pPr>
            <w:bookmarkStart w:colFirst="0" w:colLast="0" w:name="_heading=h.30j0zll" w:id="1"/>
            <w:bookmarkEnd w:id="1"/>
            <w:r w:rsidDel="00000000" w:rsidR="00000000" w:rsidRPr="00000000">
              <w:rPr>
                <w:b w:val="1"/>
                <w:sz w:val="24"/>
                <w:szCs w:val="24"/>
                <w:rtl w:val="0"/>
              </w:rPr>
              <w:t xml:space="preserve">Instructions</w:t>
            </w:r>
          </w:p>
          <w:p w:rsidR="00000000" w:rsidDel="00000000" w:rsidP="00000000" w:rsidRDefault="00000000" w:rsidRPr="00000000" w14:paraId="00000008">
            <w:pPr>
              <w:pStyle w:val="Heading1"/>
              <w:keepNext w:val="0"/>
              <w:keepLines w:val="0"/>
              <w:widowControl w:val="0"/>
              <w:spacing w:after="0" w:before="0" w:line="191.9997391304348" w:lineRule="auto"/>
              <w:rPr>
                <w:sz w:val="20"/>
                <w:szCs w:val="20"/>
              </w:rPr>
            </w:pPr>
            <w:bookmarkStart w:colFirst="0" w:colLast="0" w:name="_heading=h.1fob9te" w:id="2"/>
            <w:bookmarkEnd w:id="2"/>
            <w:r w:rsidDel="00000000" w:rsidR="00000000" w:rsidRPr="00000000">
              <w:rPr>
                <w:sz w:val="20"/>
                <w:szCs w:val="20"/>
                <w:rtl w:val="0"/>
              </w:rPr>
              <w:t xml:space="preserve"> </w:t>
            </w:r>
          </w:p>
          <w:p w:rsidR="00000000" w:rsidDel="00000000" w:rsidP="00000000" w:rsidRDefault="00000000" w:rsidRPr="00000000" w14:paraId="00000009">
            <w:pPr>
              <w:pStyle w:val="Heading1"/>
              <w:keepNext w:val="0"/>
              <w:keepLines w:val="0"/>
              <w:widowControl w:val="0"/>
              <w:spacing w:after="0" w:before="0" w:lineRule="auto"/>
              <w:rPr>
                <w:sz w:val="20"/>
                <w:szCs w:val="20"/>
              </w:rPr>
            </w:pPr>
            <w:bookmarkStart w:colFirst="0" w:colLast="0" w:name="_heading=h.3znysh7" w:id="3"/>
            <w:bookmarkEnd w:id="3"/>
            <w:r w:rsidDel="00000000" w:rsidR="00000000" w:rsidRPr="00000000">
              <w:rPr>
                <w:sz w:val="20"/>
                <w:szCs w:val="20"/>
                <w:rtl w:val="0"/>
              </w:rPr>
              <w:t xml:space="preserve">Explain to students that Ginny and Frank face more complicated choices as they balance their obligations to their family farm, their desire to support others in the community, and their hunger to explore life outside of Dalhart. As students guide Ginny and Frank, they will have to weigh conflicting priorities and sometimes make difficult trade offs.</w:t>
            </w:r>
          </w:p>
          <w:p w:rsidR="00000000" w:rsidDel="00000000" w:rsidP="00000000" w:rsidRDefault="00000000" w:rsidRPr="00000000" w14:paraId="0000000A">
            <w:pPr>
              <w:pStyle w:val="Heading1"/>
              <w:keepNext w:val="0"/>
              <w:keepLines w:val="0"/>
              <w:widowControl w:val="0"/>
              <w:spacing w:after="0" w:before="0" w:lineRule="auto"/>
              <w:rPr>
                <w:sz w:val="20"/>
                <w:szCs w:val="20"/>
              </w:rPr>
            </w:pPr>
            <w:bookmarkStart w:colFirst="0" w:colLast="0" w:name="_heading=h.2et92p0" w:id="4"/>
            <w:bookmarkEnd w:id="4"/>
            <w:r w:rsidDel="00000000" w:rsidR="00000000" w:rsidRPr="00000000">
              <w:rPr>
                <w:rtl w:val="0"/>
              </w:rPr>
            </w:r>
          </w:p>
          <w:p w:rsidR="00000000" w:rsidDel="00000000" w:rsidP="00000000" w:rsidRDefault="00000000" w:rsidRPr="00000000" w14:paraId="0000000B">
            <w:pPr>
              <w:rPr>
                <w:b w:val="1"/>
                <w:sz w:val="20"/>
                <w:szCs w:val="20"/>
              </w:rPr>
            </w:pPr>
            <w:r w:rsidDel="00000000" w:rsidR="00000000" w:rsidRPr="00000000">
              <w:rPr>
                <w:b w:val="1"/>
                <w:sz w:val="20"/>
                <w:szCs w:val="20"/>
                <w:rtl w:val="0"/>
              </w:rPr>
              <w:t xml:space="preserve">Choosing a Priority</w:t>
            </w:r>
          </w:p>
          <w:p w:rsidR="00000000" w:rsidDel="00000000" w:rsidP="00000000" w:rsidRDefault="00000000" w:rsidRPr="00000000" w14:paraId="0000000C">
            <w:pPr>
              <w:rPr>
                <w:sz w:val="20"/>
                <w:szCs w:val="20"/>
              </w:rPr>
            </w:pPr>
            <w:r w:rsidDel="00000000" w:rsidR="00000000" w:rsidRPr="00000000">
              <w:rPr>
                <w:sz w:val="20"/>
                <w:szCs w:val="20"/>
                <w:rtl w:val="0"/>
              </w:rPr>
              <w:t xml:space="preserve">Give students copies of the Parts 2 and 3 Decision Tracker, and walk through the instructions with them. Instead of reflecting on priorities </w:t>
            </w:r>
            <w:r w:rsidDel="00000000" w:rsidR="00000000" w:rsidRPr="00000000">
              <w:rPr>
                <w:i w:val="1"/>
                <w:sz w:val="20"/>
                <w:szCs w:val="20"/>
                <w:rtl w:val="0"/>
              </w:rPr>
              <w:t xml:space="preserve">after</w:t>
            </w:r>
            <w:r w:rsidDel="00000000" w:rsidR="00000000" w:rsidRPr="00000000">
              <w:rPr>
                <w:sz w:val="20"/>
                <w:szCs w:val="20"/>
                <w:rtl w:val="0"/>
              </w:rPr>
              <w:t xml:space="preserve"> recording their decisions on the handout (as they did previously), students will now choose a priority </w:t>
            </w:r>
            <w:r w:rsidDel="00000000" w:rsidR="00000000" w:rsidRPr="00000000">
              <w:rPr>
                <w:i w:val="1"/>
                <w:sz w:val="20"/>
                <w:szCs w:val="20"/>
                <w:rtl w:val="0"/>
              </w:rPr>
              <w:t xml:space="preserve">before</w:t>
            </w:r>
            <w:r w:rsidDel="00000000" w:rsidR="00000000" w:rsidRPr="00000000">
              <w:rPr>
                <w:b w:val="1"/>
                <w:sz w:val="20"/>
                <w:szCs w:val="20"/>
                <w:rtl w:val="0"/>
              </w:rPr>
              <w:t xml:space="preserve"> </w:t>
            </w:r>
            <w:r w:rsidDel="00000000" w:rsidR="00000000" w:rsidRPr="00000000">
              <w:rPr>
                <w:sz w:val="20"/>
                <w:szCs w:val="20"/>
                <w:rtl w:val="0"/>
              </w:rPr>
              <w:t xml:space="preserve">they play Parts 2 and 3. Encourage them to try to follow that priority in the choices they make in the game. </w:t>
            </w:r>
          </w:p>
          <w:p w:rsidR="00000000" w:rsidDel="00000000" w:rsidP="00000000" w:rsidRDefault="00000000" w:rsidRPr="00000000" w14:paraId="0000000D">
            <w:pPr>
              <w:rPr>
                <w:sz w:val="20"/>
                <w:szCs w:val="20"/>
              </w:rPr>
            </w:pPr>
            <w:r w:rsidDel="00000000" w:rsidR="00000000" w:rsidRPr="00000000">
              <w:rPr>
                <w:rtl w:val="0"/>
              </w:rPr>
            </w:r>
          </w:p>
          <w:p w:rsidR="00000000" w:rsidDel="00000000" w:rsidP="00000000" w:rsidRDefault="00000000" w:rsidRPr="00000000" w14:paraId="0000000E">
            <w:pPr>
              <w:rPr>
                <w:sz w:val="20"/>
                <w:szCs w:val="20"/>
              </w:rPr>
            </w:pPr>
            <w:r w:rsidDel="00000000" w:rsidR="00000000" w:rsidRPr="00000000">
              <w:rPr>
                <w:sz w:val="20"/>
                <w:szCs w:val="20"/>
                <w:rtl w:val="0"/>
              </w:rPr>
              <w:t xml:space="preserve">On the handout, students will record at least two decisions they made in which their chosen priority came into play. (The graphic organizer provides space for three examples.) We recommend that students record their decisions </w:t>
            </w:r>
            <w:r w:rsidDel="00000000" w:rsidR="00000000" w:rsidRPr="00000000">
              <w:rPr>
                <w:i w:val="1"/>
                <w:sz w:val="20"/>
                <w:szCs w:val="20"/>
                <w:rtl w:val="0"/>
              </w:rPr>
              <w:t xml:space="preserve">as they play</w:t>
            </w:r>
            <w:r w:rsidDel="00000000" w:rsidR="00000000" w:rsidRPr="00000000">
              <w:rPr>
                <w:sz w:val="20"/>
                <w:szCs w:val="20"/>
                <w:rtl w:val="0"/>
              </w:rPr>
              <w:t xml:space="preserve"> Parts 2 and 3 rather than after they have completed them. </w:t>
            </w:r>
          </w:p>
          <w:p w:rsidR="00000000" w:rsidDel="00000000" w:rsidP="00000000" w:rsidRDefault="00000000" w:rsidRPr="00000000" w14:paraId="0000000F">
            <w:pPr>
              <w:rPr>
                <w:sz w:val="20"/>
                <w:szCs w:val="20"/>
              </w:rPr>
            </w:pPr>
            <w:r w:rsidDel="00000000" w:rsidR="00000000" w:rsidRPr="00000000">
              <w:rPr>
                <w:rtl w:val="0"/>
              </w:rPr>
            </w:r>
          </w:p>
          <w:p w:rsidR="00000000" w:rsidDel="00000000" w:rsidP="00000000" w:rsidRDefault="00000000" w:rsidRPr="00000000" w14:paraId="00000010">
            <w:pPr>
              <w:rPr>
                <w:b w:val="1"/>
                <w:sz w:val="20"/>
                <w:szCs w:val="20"/>
              </w:rPr>
            </w:pPr>
            <w:r w:rsidDel="00000000" w:rsidR="00000000" w:rsidRPr="00000000">
              <w:rPr>
                <w:b w:val="1"/>
                <w:sz w:val="20"/>
                <w:szCs w:val="20"/>
                <w:rtl w:val="0"/>
              </w:rPr>
              <w:t xml:space="preserve">The Complexity of Decision Making</w:t>
            </w:r>
          </w:p>
          <w:p w:rsidR="00000000" w:rsidDel="00000000" w:rsidP="00000000" w:rsidRDefault="00000000" w:rsidRPr="00000000" w14:paraId="00000011">
            <w:pPr>
              <w:rPr>
                <w:sz w:val="20"/>
                <w:szCs w:val="20"/>
              </w:rPr>
            </w:pPr>
            <w:r w:rsidDel="00000000" w:rsidR="00000000" w:rsidRPr="00000000">
              <w:rPr>
                <w:sz w:val="20"/>
                <w:szCs w:val="20"/>
                <w:rtl w:val="0"/>
              </w:rPr>
              <w:t xml:space="preserve">As they play the game, students will likely realize that consistently pursuing one priority will force them to make difficult compromises, and they may even choose to abandon their chosen priority at times for this reason. The goal is not to test or evaluate students’ abilities to stick with their priority - rather, it is to help them experience and reflect on the complexity of decision making. </w:t>
            </w:r>
          </w:p>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b w:val="1"/>
                <w:sz w:val="20"/>
                <w:szCs w:val="20"/>
              </w:rPr>
            </w:pPr>
            <w:r w:rsidDel="00000000" w:rsidR="00000000" w:rsidRPr="00000000">
              <w:rPr>
                <w:b w:val="1"/>
                <w:sz w:val="20"/>
                <w:szCs w:val="20"/>
                <w:rtl w:val="0"/>
              </w:rPr>
              <w:t xml:space="preserve">Scaffolding</w:t>
            </w:r>
          </w:p>
          <w:p w:rsidR="00000000" w:rsidDel="00000000" w:rsidP="00000000" w:rsidRDefault="00000000" w:rsidRPr="00000000" w14:paraId="00000014">
            <w:pPr>
              <w:rPr>
                <w:sz w:val="20"/>
                <w:szCs w:val="20"/>
              </w:rPr>
            </w:pPr>
            <w:r w:rsidDel="00000000" w:rsidR="00000000" w:rsidRPr="00000000">
              <w:rPr>
                <w:sz w:val="20"/>
                <w:szCs w:val="20"/>
                <w:rtl w:val="0"/>
              </w:rPr>
              <w:t xml:space="preserve">Unlike the Prologue-Part 1 Decision Tracker, this version is open-ended and does not suggest which situations in the game should be the focus of the actions and choices they describe. If your students need more guidance about what to record, you can provide them one or more of the following situations:</w:t>
            </w:r>
          </w:p>
          <w:p w:rsidR="00000000" w:rsidDel="00000000" w:rsidP="00000000" w:rsidRDefault="00000000" w:rsidRPr="00000000" w14:paraId="00000015">
            <w:pPr>
              <w:widowControl w:val="0"/>
              <w:numPr>
                <w:ilvl w:val="0"/>
                <w:numId w:val="1"/>
              </w:numPr>
              <w:ind w:left="720" w:hanging="360"/>
              <w:rPr>
                <w:sz w:val="20"/>
                <w:szCs w:val="20"/>
              </w:rPr>
            </w:pPr>
            <w:r w:rsidDel="00000000" w:rsidR="00000000" w:rsidRPr="00000000">
              <w:rPr>
                <w:sz w:val="20"/>
                <w:szCs w:val="20"/>
                <w:rtl w:val="0"/>
              </w:rPr>
              <w:t xml:space="preserve">Trading at Huff’s store…</w:t>
            </w:r>
          </w:p>
          <w:p w:rsidR="00000000" w:rsidDel="00000000" w:rsidP="00000000" w:rsidRDefault="00000000" w:rsidRPr="00000000" w14:paraId="00000016">
            <w:pPr>
              <w:widowControl w:val="0"/>
              <w:numPr>
                <w:ilvl w:val="0"/>
                <w:numId w:val="1"/>
              </w:numPr>
              <w:ind w:left="720" w:hanging="360"/>
              <w:rPr>
                <w:sz w:val="20"/>
                <w:szCs w:val="20"/>
                <w:u w:val="none"/>
              </w:rPr>
            </w:pPr>
            <w:r w:rsidDel="00000000" w:rsidR="00000000" w:rsidRPr="00000000">
              <w:rPr>
                <w:sz w:val="20"/>
                <w:szCs w:val="20"/>
                <w:rtl w:val="0"/>
              </w:rPr>
              <w:t xml:space="preserve">While riding the rails…</w:t>
            </w:r>
            <w:r w:rsidDel="00000000" w:rsidR="00000000" w:rsidRPr="00000000">
              <w:rPr>
                <w:rtl w:val="0"/>
              </w:rPr>
            </w:r>
          </w:p>
          <w:p w:rsidR="00000000" w:rsidDel="00000000" w:rsidP="00000000" w:rsidRDefault="00000000" w:rsidRPr="00000000" w14:paraId="00000017">
            <w:pPr>
              <w:keepNext w:val="0"/>
              <w:keepLines w:val="0"/>
              <w:widowControl w:val="0"/>
              <w:spacing w:after="0" w:before="0" w:lineRule="auto"/>
              <w:rPr>
                <w:b w:val="1"/>
                <w:sz w:val="24"/>
                <w:szCs w:val="24"/>
              </w:rPr>
            </w:pPr>
            <w:r w:rsidDel="00000000" w:rsidR="00000000" w:rsidRPr="00000000">
              <w:rPr>
                <w:rtl w:val="0"/>
              </w:rPr>
            </w:r>
          </w:p>
        </w:tc>
      </w:tr>
    </w:tbl>
    <w:p w:rsidR="00000000" w:rsidDel="00000000" w:rsidP="00000000" w:rsidRDefault="00000000" w:rsidRPr="00000000" w14:paraId="00000018">
      <w:pPr>
        <w:spacing w:line="240" w:lineRule="auto"/>
        <w:rPr>
          <w:sz w:val="24"/>
          <w:szCs w:val="24"/>
        </w:rPr>
      </w:pPr>
      <w:r w:rsidDel="00000000" w:rsidR="00000000" w:rsidRPr="00000000">
        <w:rPr>
          <w:rtl w:val="0"/>
        </w:rPr>
      </w:r>
    </w:p>
    <w:sectPr>
      <w:headerReference r:id="rId8" w:type="default"/>
      <w:footerReference r:id="rId9"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tabs>
        <w:tab w:val="center" w:leader="none" w:pos="4680"/>
        <w:tab w:val="right" w:leader="none" w:pos="9360"/>
      </w:tabs>
      <w:spacing w:line="240" w:lineRule="auto"/>
      <w:ind w:right="360"/>
      <w:rPr/>
    </w:pPr>
    <w:r w:rsidDel="00000000" w:rsidR="00000000" w:rsidRPr="00000000">
      <w:rPr>
        <w:rtl w:val="0"/>
      </w:rPr>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905256" cy="192024"/>
          <wp:effectExtent b="0" l="0" r="0" t="0"/>
          <wp:wrapSquare wrapText="bothSides" distB="0" distT="0" distL="0" distR="0"/>
          <wp:docPr descr="Logo&#10;&#10;Description automatically generated with medium confidence" id="3"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05256" cy="192024"/>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spacing w:line="276" w:lineRule="auto"/>
      <w:rPr>
        <w:sz w:val="18"/>
        <w:szCs w:val="18"/>
      </w:rPr>
    </w:pPr>
    <w:r w:rsidDel="00000000" w:rsidR="00000000" w:rsidRPr="00000000">
      <w:rPr>
        <w:rFonts w:ascii="Arial Black" w:cs="Arial Black" w:eastAsia="Arial Black" w:hAnsi="Arial Black"/>
        <w:b w:val="1"/>
        <w:sz w:val="24"/>
        <w:szCs w:val="24"/>
        <w:rtl w:val="0"/>
      </w:rPr>
      <w:t xml:space="preserve">Up From the Dust</w:t>
    </w:r>
    <w:r w:rsidDel="00000000" w:rsidR="00000000" w:rsidRPr="00000000">
      <w:rPr>
        <w:sz w:val="24"/>
        <w:szCs w:val="24"/>
        <w:rtl w:val="0"/>
      </w:rPr>
      <w:t xml:space="preserve"> Part 2 &amp; Part 3 </w:t>
    </w:r>
    <w:r w:rsidDel="00000000" w:rsidR="00000000" w:rsidRPr="00000000">
      <w:rPr>
        <w:color w:val="ff0000"/>
        <w:sz w:val="24"/>
        <w:szCs w:val="24"/>
        <w:rtl w:val="0"/>
      </w:rPr>
      <w:t xml:space="preserve">Teacher Guide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mEM64K8+dx1axSirOcwW40gENg==">CgMxLjAyCGguZ2pkZ3hzMgloLjMwajB6bGwyCWguMWZvYjl0ZTIJaC4zem55c2g3MgloLjJldDkycDA4AHIhMWxHb3Ytaml3Nnlwc1RBZzFTUWNZMzNSZTZSdFRHcl8w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